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ПОЛИТИКА ОПЕРАТОРА В ОТНОШЕНИИ </w:t>
      </w:r>
    </w:p>
    <w:p>
      <w:pPr>
        <w:pStyle w:val="Normal"/>
        <w:jc w:val="center"/>
        <w:rPr>
          <w:b/>
          <w:bCs/>
        </w:rPr>
      </w:pPr>
      <w:r>
        <w:rPr>
          <w:b/>
          <w:bCs/>
        </w:rPr>
        <w:t>ОБРАБОТКИ ПЕРСОНАЛЬНЫХ ДАННЫХ</w:t>
      </w:r>
    </w:p>
    <w:p>
      <w:pPr>
        <w:pStyle w:val="Normal"/>
        <w:jc w:val="both"/>
        <w:rPr/>
      </w:pPr>
      <w:r>
        <w:rPr/>
      </w:r>
    </w:p>
    <w:p>
      <w:pPr>
        <w:pStyle w:val="Normal"/>
        <w:jc w:val="center"/>
        <w:rPr/>
      </w:pPr>
      <w:r>
        <w:rPr/>
        <w:t>1. Общие положения</w:t>
      </w:r>
    </w:p>
    <w:p>
      <w:pPr>
        <w:pStyle w:val="Normal"/>
        <w:jc w:val="center"/>
        <w:rPr/>
      </w:pPr>
      <w:r>
        <w:rPr/>
      </w:r>
    </w:p>
    <w:p>
      <w:pPr>
        <w:pStyle w:val="Normal"/>
        <w:jc w:val="both"/>
        <w:rPr/>
      </w:pPr>
      <w:r>
        <w:rPr/>
        <w:t xml:space="preserve">1.1. Политика оператора в отношении обработки персональных данных (далее – Политика) разработана в соответствии с Федеральным законом от 27.07.2006 № 152-ФЗ «О персональных данных» (далее – Закон № 152-ФЗ) и определяет порядок обработки персональных данных и меры по обеспечению безопасности персональных данных Индивидуальным предпринимателем Кондратьевой Инной Андреевной ИНН  </w:t>
      </w:r>
      <w:r>
        <w:rPr>
          <w:rFonts w:eastAsia="Calibri" w:cs="Times New Roman" w:ascii="Times New Roman" w:hAnsi="Times New Roman"/>
          <w:sz w:val="24"/>
          <w:szCs w:val="24"/>
        </w:rPr>
        <w:t>610302714886</w:t>
      </w:r>
      <w:r>
        <w:rPr/>
        <w:t xml:space="preserve">, ОГРНИП </w:t>
      </w:r>
      <w:r>
        <w:rPr>
          <w:rFonts w:eastAsia="Calibri" w:cs="Times New Roman" w:ascii="Times New Roman" w:hAnsi="Times New Roman"/>
          <w:sz w:val="24"/>
          <w:szCs w:val="24"/>
        </w:rPr>
        <w:t xml:space="preserve">324619600029499 </w:t>
      </w:r>
      <w:r>
        <w:rPr/>
        <w:t>(далее – Оператор).</w:t>
      </w:r>
    </w:p>
    <w:p>
      <w:pPr>
        <w:pStyle w:val="Normal"/>
        <w:jc w:val="both"/>
        <w:rPr/>
      </w:pPr>
      <w:r>
        <w:rPr/>
        <w:t>1.2. Политика является общедоступным документом и подлежит размещению на сайтах Оператора https://voronezh-novostroy.ru и https://tg.voronezh-novostroy.ru, в Telegram-канале «Новостройки Воронежа | Объединение застройщиков» (https://t.me/voronezh_novostroyki) и в Telegram-боте с обеспечением неограниченного доступа к ней.</w:t>
      </w:r>
    </w:p>
    <w:p>
      <w:pPr>
        <w:pStyle w:val="Normal"/>
        <w:jc w:val="both"/>
        <w:rPr/>
      </w:pPr>
      <w:r>
        <w:rPr/>
        <w:t>1.3. Политика разработана в целях обеспечения защиты прав и свобод субъекта персональных данных при обработке его персональных данных, в том числе защиты прав на неприкосновенность частной жизни, личную и семейную тайну.</w:t>
      </w:r>
    </w:p>
    <w:p>
      <w:pPr>
        <w:pStyle w:val="Normal"/>
        <w:jc w:val="both"/>
        <w:rPr/>
      </w:pPr>
      <w:r>
        <w:rPr/>
        <w:t>1.4. Оператор обрабатывает персональные данные в целях предоставления пользователям информации об объектах недвижимости и передачи контактных данных партнерам для связи по вопросам приобретения недвижимости.</w:t>
      </w:r>
    </w:p>
    <w:p>
      <w:pPr>
        <w:pStyle w:val="Normal"/>
        <w:jc w:val="both"/>
        <w:rPr/>
      </w:pPr>
      <w:r>
        <w:rPr/>
        <w:t>1.5. Основные понятия, используемые в Политике:</w:t>
      </w:r>
    </w:p>
    <w:p>
      <w:pPr>
        <w:pStyle w:val="Normal"/>
        <w:jc w:val="both"/>
        <w:rPr/>
      </w:pPr>
      <w:r>
        <w:rPr/>
        <w:t>-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Normal"/>
        <w:jc w:val="both"/>
        <w:rPr/>
      </w:pPr>
      <w:r>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Normal"/>
        <w:jc w:val="both"/>
        <w:rPr/>
      </w:pPr>
      <w:r>
        <w:rPr/>
        <w:t>- автоматизированная обработка персональных данных – обработка персональных данных с помощью средств вычислительной техники;</w:t>
      </w:r>
    </w:p>
    <w:p>
      <w:pPr>
        <w:pStyle w:val="Normal"/>
        <w:jc w:val="both"/>
        <w:rPr/>
      </w:pPr>
      <w:r>
        <w:rPr/>
        <w:t>- распространение персональных данных – действия, направленные на раскрытие персональных данных неопределенному кругу лиц;</w:t>
      </w:r>
    </w:p>
    <w:p>
      <w:pPr>
        <w:pStyle w:val="Normal"/>
        <w:jc w:val="both"/>
        <w:rPr/>
      </w:pPr>
      <w:r>
        <w:rPr/>
        <w:t>- 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Normal"/>
        <w:jc w:val="both"/>
        <w:rPr/>
      </w:pPr>
      <w:r>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pPr>
        <w:pStyle w:val="Normal"/>
        <w:jc w:val="both"/>
        <w:rPr/>
      </w:pPr>
      <w:r>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Normal"/>
        <w:jc w:val="both"/>
        <w:rPr/>
      </w:pPr>
      <w:r>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pStyle w:val="Normal"/>
        <w:jc w:val="both"/>
        <w:rPr/>
      </w:pPr>
      <w:r>
        <w:rPr/>
        <w:t>- 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Normal"/>
        <w:jc w:val="both"/>
        <w:rPr/>
      </w:pPr>
      <w:r>
        <w:rPr/>
      </w:r>
    </w:p>
    <w:p>
      <w:pPr>
        <w:pStyle w:val="Normal"/>
        <w:jc w:val="center"/>
        <w:rPr/>
      </w:pPr>
      <w:r>
        <w:rPr/>
        <w:t>2. Основные права и обязанности Оператора</w:t>
      </w:r>
    </w:p>
    <w:p>
      <w:pPr>
        <w:pStyle w:val="Normal"/>
        <w:jc w:val="both"/>
        <w:rPr/>
      </w:pPr>
      <w:r>
        <w:rPr/>
        <w:t>2.1. Оператор имеет право:</w:t>
      </w:r>
    </w:p>
    <w:p>
      <w:pPr>
        <w:pStyle w:val="Normal"/>
        <w:jc w:val="both"/>
        <w:rPr/>
      </w:pPr>
      <w:r>
        <w:rPr/>
        <w:t>2.1.1. самостоятельно определять состав и перечень мер, необходимых и достаточных для обеспечения выполнения обязанностей, предусмотренных Законом № 152-ФЗ и принятыми в соответствии с ними нормативными правовыми актами, если иное не предусмотрено Законом № 152-ФЗ или другими федеральными законами;</w:t>
      </w:r>
    </w:p>
    <w:p>
      <w:pPr>
        <w:pStyle w:val="Normal"/>
        <w:jc w:val="both"/>
        <w:rPr/>
      </w:pPr>
      <w:r>
        <w:rPr/>
        <w:t>2.1.2. поручать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 152-ФЗ,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 152-ФЗ;</w:t>
      </w:r>
    </w:p>
    <w:p>
      <w:pPr>
        <w:pStyle w:val="Normal"/>
        <w:jc w:val="both"/>
        <w:rPr/>
      </w:pPr>
      <w:r>
        <w:rPr/>
        <w:t>2.1.3.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 152-ФЗ;</w:t>
      </w:r>
    </w:p>
    <w:p>
      <w:pPr>
        <w:pStyle w:val="Normal"/>
        <w:jc w:val="both"/>
        <w:rPr/>
      </w:pPr>
      <w:r>
        <w:rPr/>
        <w:t>2.1.4.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pPr>
        <w:pStyle w:val="Normal"/>
        <w:jc w:val="both"/>
        <w:rPr/>
      </w:pPr>
      <w:r>
        <w:rPr/>
        <w:t>2.1.5. отказывать в предоставлении персональных данных в случаях, предусмотренных законодательством;</w:t>
      </w:r>
    </w:p>
    <w:p>
      <w:pPr>
        <w:pStyle w:val="Normal"/>
        <w:jc w:val="both"/>
        <w:rPr/>
      </w:pPr>
      <w:r>
        <w:rPr/>
        <w:t>2.1.6. использовать персональные данные субъекта без его согласия в случаях, предусмотренных законодательством;</w:t>
      </w:r>
    </w:p>
    <w:p>
      <w:pPr>
        <w:pStyle w:val="Normal"/>
        <w:jc w:val="both"/>
        <w:rPr/>
      </w:pPr>
      <w:r>
        <w:rPr/>
        <w:t>2.1.7. отстаивать свои интересы в суде.</w:t>
      </w:r>
    </w:p>
    <w:p>
      <w:pPr>
        <w:pStyle w:val="Normal"/>
        <w:jc w:val="both"/>
        <w:rPr/>
      </w:pPr>
      <w:r>
        <w:rPr/>
        <w:t>2.2. Оператор обязан:</w:t>
      </w:r>
    </w:p>
    <w:p>
      <w:pPr>
        <w:pStyle w:val="Normal"/>
        <w:jc w:val="both"/>
        <w:rPr/>
      </w:pPr>
      <w:r>
        <w:rPr/>
        <w:t>2.2.1. организовывать обработку персональных данных в соответствии с требованиями Закона № 152-ФЗ;</w:t>
      </w:r>
    </w:p>
    <w:p>
      <w:pPr>
        <w:pStyle w:val="Normal"/>
        <w:jc w:val="both"/>
        <w:rPr/>
      </w:pPr>
      <w:r>
        <w:rPr/>
        <w:t>2.2.2. отвечать на обращения и запросы субъектов персональных данных и их законных представителей в соответствии с требованиями Закона № 152-ФЗ;</w:t>
      </w:r>
    </w:p>
    <w:p>
      <w:pPr>
        <w:pStyle w:val="Normal"/>
        <w:jc w:val="both"/>
        <w:rPr/>
      </w:pPr>
      <w:r>
        <w:rPr/>
        <w:t>2.2.3.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(десяти) рабочих дней с даты получения такого запроса. Данный срок может быть продлен, но не более чем на 5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pPr>
        <w:pStyle w:val="Normal"/>
        <w:jc w:val="both"/>
        <w:rPr/>
      </w:pPr>
      <w:r>
        <w:rPr/>
        <w:t>2.2.4.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о компьютерных инцидентах, которые повлекли неправомерную передачу (предоставление, распространение, доступ) персональных данных;</w:t>
      </w:r>
    </w:p>
    <w:p>
      <w:pPr>
        <w:pStyle w:val="Normal"/>
        <w:jc w:val="both"/>
        <w:rPr/>
      </w:pPr>
      <w:r>
        <w:rPr/>
        <w:t>2.2.5.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Pr>
        <w:pStyle w:val="Normal"/>
        <w:jc w:val="both"/>
        <w:rPr/>
      </w:pPr>
      <w:r>
        <w:rPr/>
        <w:t>2.3. Основные права субъекта персональных данных. Субъект имеет право:</w:t>
      </w:r>
    </w:p>
    <w:p>
      <w:pPr>
        <w:pStyle w:val="Normal"/>
        <w:jc w:val="both"/>
        <w:rPr/>
      </w:pPr>
      <w:r>
        <w:rPr/>
        <w:t>2.3.1. получать информацию, касающуюся обработки его персональных данных, в том числе содержащую:</w:t>
      </w:r>
    </w:p>
    <w:p>
      <w:pPr>
        <w:pStyle w:val="Normal"/>
        <w:jc w:val="both"/>
        <w:rPr/>
      </w:pPr>
      <w:r>
        <w:rPr/>
        <w:t>- подтверждение факта обработки персональных данных оператором;</w:t>
      </w:r>
    </w:p>
    <w:p>
      <w:pPr>
        <w:pStyle w:val="Normal"/>
        <w:jc w:val="both"/>
        <w:rPr/>
      </w:pPr>
      <w:r>
        <w:rPr/>
        <w:t>- правовые основания и цели обработки персональных данных;</w:t>
      </w:r>
    </w:p>
    <w:p>
      <w:pPr>
        <w:pStyle w:val="Normal"/>
        <w:jc w:val="both"/>
        <w:rPr/>
      </w:pPr>
      <w:r>
        <w:rPr/>
        <w:t>- цели и применяемые оператором способы обработки персональных данных;</w:t>
      </w:r>
    </w:p>
    <w:p>
      <w:pPr>
        <w:pStyle w:val="Normal"/>
        <w:jc w:val="both"/>
        <w:rPr/>
      </w:pPr>
      <w:r>
        <w:rPr/>
        <w:t>- сроки обработки персональных данных, в том числе сроки их хранения;</w:t>
      </w:r>
    </w:p>
    <w:p>
      <w:pPr>
        <w:pStyle w:val="Normal"/>
        <w:jc w:val="both"/>
        <w:rPr/>
      </w:pPr>
      <w:r>
        <w:rPr/>
        <w:t>- информацию об осуществленной или о предполагаемой трансграничной передаче данных;</w:t>
      </w:r>
    </w:p>
    <w:p>
      <w:pPr>
        <w:pStyle w:val="Normal"/>
        <w:jc w:val="both"/>
        <w:rPr/>
      </w:pPr>
      <w:r>
        <w:rPr/>
        <w:t>- информацию о способах исполнения оператором обязанностей, установленных статьей 18.1 Закона № 152-ФЗ;</w:t>
      </w:r>
    </w:p>
    <w:p>
      <w:pPr>
        <w:pStyle w:val="Normal"/>
        <w:jc w:val="both"/>
        <w:rPr/>
      </w:pPr>
      <w:r>
        <w:rPr/>
        <w:t>- иные сведения, предусмотренные Законом № 152-ФЗ или другими федеральными законами.</w:t>
      </w:r>
    </w:p>
    <w:p>
      <w:pPr>
        <w:pStyle w:val="Normal"/>
        <w:jc w:val="both"/>
        <w:rPr/>
      </w:pPr>
      <w:r>
        <w:rPr/>
        <w:t>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 152-ФЗ;</w:t>
      </w:r>
    </w:p>
    <w:p>
      <w:pPr>
        <w:pStyle w:val="Normal"/>
        <w:jc w:val="both"/>
        <w:rPr/>
      </w:pPr>
      <w:r>
        <w:rPr/>
        <w:t>2.3.2.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Normal"/>
        <w:jc w:val="both"/>
        <w:rPr/>
      </w:pPr>
      <w:r>
        <w:rPr/>
        <w:t xml:space="preserve">2.3.3. Субъект персональных данных имеет право на защиту своих прав и законных интересов. Субъект персональных данных вправе отозвать свое согласие на обработку персональных данных в любое время путем направления письменного заявления на электронную почту Оператора: </w:t>
      </w:r>
      <w:hyperlink r:id="rId3">
        <w:r>
          <w:rPr>
            <w:rStyle w:val="Hyperlink"/>
            <w:rFonts w:cs="Times New Roman" w:ascii="Times New Roman" w:hAnsi="Times New Roman"/>
            <w:sz w:val="24"/>
            <w:szCs w:val="24"/>
            <w:lang w:val="en-US"/>
          </w:rPr>
          <w:t>INNA.KONDRATEVA.80@INTERNET.RU</w:t>
        </w:r>
      </w:hyperlink>
      <w:r>
        <w:rPr>
          <w:rFonts w:cs="Times New Roman" w:ascii="Times New Roman" w:hAnsi="Times New Roman"/>
          <w:sz w:val="24"/>
          <w:szCs w:val="24"/>
          <w:lang w:val="en-US"/>
        </w:rPr>
        <w:t xml:space="preserve"> </w:t>
      </w:r>
    </w:p>
    <w:p>
      <w:pPr>
        <w:pStyle w:val="Normal"/>
        <w:jc w:val="both"/>
        <w:rPr/>
      </w:pPr>
      <w:r>
        <w:rPr/>
        <w:t>В случае отзыва согласия Оператор обязан прекратить обработку персональных данных и уничтожить их в срок, не превышающий 30 (тридцати) календарных дней с даты получения такого отзыва, если иное не предусмотрено договором, стороной которого является субъект персональных данных.</w:t>
      </w:r>
    </w:p>
    <w:p>
      <w:pPr>
        <w:pStyle w:val="Normal"/>
        <w:jc w:val="both"/>
        <w:rPr/>
      </w:pPr>
      <w:r>
        <w:rPr/>
      </w:r>
    </w:p>
    <w:p>
      <w:pPr>
        <w:pStyle w:val="Normal"/>
        <w:jc w:val="center"/>
        <w:rPr/>
      </w:pPr>
      <w:r>
        <w:rPr/>
        <w:t>3. Цели сбора персональных данных</w:t>
      </w:r>
    </w:p>
    <w:p>
      <w:pPr>
        <w:pStyle w:val="Normal"/>
        <w:jc w:val="both"/>
        <w:rPr/>
      </w:pPr>
      <w:r>
        <w:rPr/>
        <w:t>3.1.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pStyle w:val="Normal"/>
        <w:jc w:val="both"/>
        <w:rPr/>
      </w:pPr>
      <w:r>
        <w:rPr/>
        <w:t>3.2. К целям обработки персональных данных Оператора относятся:</w:t>
      </w:r>
    </w:p>
    <w:p>
      <w:pPr>
        <w:pStyle w:val="Normal"/>
        <w:jc w:val="both"/>
        <w:rPr/>
      </w:pPr>
      <w:r>
        <w:rPr/>
        <w:t>- предоставление пользователям информации об объектах недвижимости, расположенных в городе Воронеже и Воронежской области;</w:t>
      </w:r>
    </w:p>
    <w:p>
      <w:pPr>
        <w:pStyle w:val="Normal"/>
        <w:jc w:val="both"/>
        <w:rPr/>
      </w:pPr>
      <w:r>
        <w:rPr/>
        <w:t>-передача контактных данных пользователей партнерам Оператора (агентствам недвижимости и застройщикам) для связи по вопросам приобретения недвижимости;</w:t>
      </w:r>
    </w:p>
    <w:p>
      <w:pPr>
        <w:pStyle w:val="Normal"/>
        <w:jc w:val="both"/>
        <w:rPr/>
      </w:pPr>
      <w:r>
        <w:rPr/>
        <w:t>- обеспечение обратной связи с пользователями.</w:t>
      </w:r>
    </w:p>
    <w:p>
      <w:pPr>
        <w:pStyle w:val="Normal"/>
        <w:jc w:val="both"/>
        <w:rPr/>
      </w:pPr>
      <w:r>
        <w:rPr/>
      </w:r>
    </w:p>
    <w:p>
      <w:pPr>
        <w:pStyle w:val="Normal"/>
        <w:jc w:val="center"/>
        <w:rPr/>
      </w:pPr>
      <w:r>
        <w:rPr/>
        <w:t>4. Правовые основания обработки персональных данных</w:t>
      </w:r>
    </w:p>
    <w:p>
      <w:pPr>
        <w:pStyle w:val="Normal"/>
        <w:jc w:val="both"/>
        <w:rPr/>
      </w:pPr>
      <w:r>
        <w:rPr/>
        <w:t>4.1. Обработка персональных данных осуществляется на основании: Согласия субъекта персональных данных на обработку его персональных данных, в соответствии со статьей 9 Закона № 152-ФЗ.</w:t>
      </w:r>
    </w:p>
    <w:p>
      <w:pPr>
        <w:pStyle w:val="Normal"/>
        <w:jc w:val="both"/>
        <w:rPr/>
      </w:pPr>
      <w:r>
        <w:rPr/>
      </w:r>
    </w:p>
    <w:p>
      <w:pPr>
        <w:pStyle w:val="Normal"/>
        <w:jc w:val="center"/>
        <w:rPr/>
      </w:pPr>
      <w:r>
        <w:rPr/>
        <w:t>5. Объем и категории обрабатываемых персональных данных, категории субъектов персональных данных</w:t>
      </w:r>
    </w:p>
    <w:p>
      <w:pPr>
        <w:pStyle w:val="Normal"/>
        <w:jc w:val="both"/>
        <w:rPr/>
      </w:pPr>
      <w:r>
        <w:rPr/>
        <w:t>5.1.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Normal"/>
        <w:jc w:val="both"/>
        <w:rPr/>
      </w:pPr>
      <w:r>
        <w:rPr/>
        <w:t>5.2. Обработка персональных данных допускается с согласия субъекта персональных данных на обработку его персональных данных.</w:t>
      </w:r>
    </w:p>
    <w:p>
      <w:pPr>
        <w:pStyle w:val="Normal"/>
        <w:jc w:val="both"/>
        <w:rPr/>
      </w:pPr>
      <w:r>
        <w:rPr/>
        <w:t>5.3. Для достижения указанных в п. 3.2 целей обрабатываются следующие категории персональных данных пользователей:</w:t>
      </w:r>
    </w:p>
    <w:p>
      <w:pPr>
        <w:pStyle w:val="Normal"/>
        <w:numPr>
          <w:ilvl w:val="0"/>
          <w:numId w:val="2"/>
        </w:numPr>
        <w:tabs>
          <w:tab w:val="clear" w:pos="709"/>
          <w:tab w:val="left" w:pos="0" w:leader="none"/>
        </w:tabs>
        <w:jc w:val="both"/>
        <w:rPr/>
      </w:pPr>
      <w:r>
        <w:rPr/>
        <w:t>идентификатор пользователя в мессенджере (в том числе числовой идентификатор аккаунта);</w:t>
      </w:r>
    </w:p>
    <w:p>
      <w:pPr>
        <w:pStyle w:val="Normal"/>
        <w:numPr>
          <w:ilvl w:val="0"/>
          <w:numId w:val="2"/>
        </w:numPr>
        <w:tabs>
          <w:tab w:val="clear" w:pos="709"/>
          <w:tab w:val="left" w:pos="0" w:leader="none"/>
        </w:tabs>
        <w:jc w:val="both"/>
        <w:rPr/>
      </w:pPr>
      <w:r>
        <w:rPr/>
        <w:t>имя пользователя (username, никнейм);</w:t>
      </w:r>
    </w:p>
    <w:p>
      <w:pPr>
        <w:pStyle w:val="Normal"/>
        <w:numPr>
          <w:ilvl w:val="0"/>
          <w:numId w:val="2"/>
        </w:numPr>
        <w:tabs>
          <w:tab w:val="clear" w:pos="709"/>
          <w:tab w:val="left" w:pos="0" w:leader="none"/>
        </w:tabs>
        <w:jc w:val="both"/>
        <w:rPr/>
      </w:pPr>
      <w:r>
        <w:rPr/>
        <w:t>имя и фамилия, указанные в профиле мессенджера;</w:t>
      </w:r>
    </w:p>
    <w:p>
      <w:pPr>
        <w:pStyle w:val="Normal"/>
        <w:numPr>
          <w:ilvl w:val="0"/>
          <w:numId w:val="2"/>
        </w:numPr>
        <w:tabs>
          <w:tab w:val="clear" w:pos="709"/>
          <w:tab w:val="left" w:pos="0" w:leader="none"/>
        </w:tabs>
        <w:jc w:val="both"/>
        <w:rPr/>
      </w:pPr>
      <w:r>
        <w:rPr/>
        <w:t>номер телефона — в случае, если Пользователь самостоятельно предоставляет его боту или через форму на сайте Оператора;</w:t>
        <w:br/>
        <w:t>технические сведения о заявке через сайт: идентификатор заявки, адрес страницы, дата и время получения согласия, версия согласия и политики, метки источника перехода (UTM-метки);</w:t>
      </w:r>
    </w:p>
    <w:p>
      <w:pPr>
        <w:pStyle w:val="Normal"/>
        <w:numPr>
          <w:ilvl w:val="0"/>
          <w:numId w:val="2"/>
        </w:numPr>
        <w:tabs>
          <w:tab w:val="clear" w:pos="709"/>
          <w:tab w:val="left" w:pos="0" w:leader="none"/>
        </w:tabs>
        <w:jc w:val="both"/>
        <w:rPr/>
      </w:pPr>
      <w:r>
        <w:rPr/>
        <w:t>иные данные, добровольно предоставленные Пользователем при взаимодействии с ботом (бюджет, район, тип объекта, площадь, количество комнат).</w:t>
      </w:r>
    </w:p>
    <w:p>
      <w:pPr>
        <w:pStyle w:val="Normal"/>
        <w:jc w:val="both"/>
        <w:rPr/>
      </w:pPr>
      <w:r>
        <w:rPr/>
      </w:r>
    </w:p>
    <w:p>
      <w:pPr>
        <w:pStyle w:val="Normal"/>
        <w:jc w:val="center"/>
        <w:rPr/>
      </w:pPr>
      <w:r>
        <w:rPr/>
        <w:t>6. Порядок и условия обработки персональных данных</w:t>
      </w:r>
    </w:p>
    <w:p>
      <w:pPr>
        <w:pStyle w:val="Normal"/>
        <w:jc w:val="both"/>
        <w:rPr/>
      </w:pPr>
      <w:r>
        <w:rPr/>
        <w:t>6.1. Оператор осуществляет обработку персональных данных – операции, совершаемые с использованием средств автоматизации,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pPr>
        <w:pStyle w:val="Normal"/>
        <w:jc w:val="both"/>
        <w:rPr/>
      </w:pPr>
      <w:r>
        <w:rPr/>
        <w:t>6.2. Обработка персональных данных осуществляется с соблюдением принципов и правил, предусмотренных Законом № 152-ФЗ.</w:t>
      </w:r>
    </w:p>
    <w:p>
      <w:pPr>
        <w:pStyle w:val="Normal"/>
        <w:jc w:val="both"/>
        <w:rPr/>
      </w:pPr>
      <w:r>
        <w:rPr/>
        <w:t>6.3. 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pPr>
        <w:pStyle w:val="Normal"/>
        <w:jc w:val="both"/>
        <w:rPr/>
      </w:pPr>
      <w:r>
        <w:rPr/>
        <w:t>6.4.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pStyle w:val="Normal"/>
        <w:jc w:val="both"/>
        <w:rPr/>
      </w:pPr>
      <w:r>
        <w:rPr/>
        <w:t>6.5. При осуществлении хранения персональных данных Оператор использует базу данных, находящуюся на территории Российской Федерации, в соответствии с ч. 5 ст. 18 Закона № 152-ФЗ.</w:t>
      </w:r>
    </w:p>
    <w:p>
      <w:pPr>
        <w:pStyle w:val="Normal"/>
        <w:jc w:val="both"/>
        <w:rPr/>
      </w:pPr>
      <w:r>
        <w:rPr/>
        <w:t>6.6. Условием прекращения обработки персональных данных может являться отзыв согласия субъекта персональных данных на обработку его персональных данных.</w:t>
      </w:r>
    </w:p>
    <w:p>
      <w:pPr>
        <w:pStyle w:val="Normal"/>
        <w:jc w:val="both"/>
        <w:rPr/>
      </w:pPr>
      <w:r>
        <w:rPr/>
        <w:t>6.7.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pPr>
        <w:pStyle w:val="Normal"/>
        <w:jc w:val="both"/>
        <w:rPr/>
      </w:pPr>
      <w:r>
        <w:rPr/>
        <w:t>6.8.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Pr>
        <w:pStyle w:val="Normal"/>
        <w:jc w:val="both"/>
        <w:rPr/>
      </w:pPr>
      <w:r>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pPr>
        <w:pStyle w:val="Normal"/>
        <w:jc w:val="both"/>
        <w:rPr/>
      </w:pPr>
      <w:r>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pPr>
        <w:pStyle w:val="Normal"/>
        <w:jc w:val="both"/>
        <w:rPr/>
      </w:pPr>
      <w:r>
        <w:rPr/>
        <w:t>6.9. Оператор обязан принимать меры, необходимые и достаточные для обеспечения выполнения обязанностей, предусмотренных Законом № 152-ФЗ и принятыми в соответствии с ним нормативными правовыми актами. Состав и перечень мер оператор определяет самостоятельно.</w:t>
      </w:r>
    </w:p>
    <w:p>
      <w:pPr>
        <w:pStyle w:val="Normal"/>
        <w:jc w:val="both"/>
        <w:rPr/>
      </w:pPr>
      <w:r>
        <w:rPr/>
        <w:t>6.10. Оператор при обработке персональных данных принимает необходимые правовые, организационные и технические меры, принимает меры по обеспечению конфиденциальности персональных данных, их целостности и доступности.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Normal"/>
        <w:jc w:val="both"/>
        <w:rPr/>
      </w:pPr>
      <w:r>
        <w:rPr/>
        <w:t xml:space="preserve">6.11. Для достижения целей, указанных в п. 3.2 настоящей Политики, Оператор вправе предоставлять персональные данные Субъекта (номер телефона и/или никнейм в Telegram) партнерам Оператора (агентствам недвижимости и застройщикам) для связи с Субъектом по вопросам приобретения недвижимости. Предоставление данных осуществляется на основании согласия Субъекта, полученного в соответствии с настоящей Политикой. При этом Оператор не несет ответственности за действия указанных лиц по дальнейшей обработке персональных данных, осуществляемую ими в качестве самостоятельных операторов. </w:t>
      </w:r>
    </w:p>
    <w:p>
      <w:pPr>
        <w:pStyle w:val="Normal"/>
        <w:jc w:val="both"/>
        <w:rPr/>
      </w:pPr>
      <w:r>
        <w:rPr/>
      </w:r>
    </w:p>
    <w:p>
      <w:pPr>
        <w:pStyle w:val="Normal"/>
        <w:jc w:val="center"/>
        <w:rPr/>
      </w:pPr>
      <w:r>
        <w:rPr/>
        <w:t>7. Актуализация, исправление, удаление и уничтожение персональных данных, ответы на запросы субъектов на доступ к персональным данным</w:t>
      </w:r>
    </w:p>
    <w:p>
      <w:pPr>
        <w:pStyle w:val="Normal"/>
        <w:jc w:val="both"/>
        <w:rPr/>
      </w:pPr>
      <w:r>
        <w:rPr/>
        <w:t>7.1. Оператор обязан сообщить в порядке, предусмотренном статьей 14 Закона № 152-ФЗ,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Normal"/>
        <w:jc w:val="both"/>
        <w:rPr/>
      </w:pPr>
      <w:r>
        <w:rPr/>
        <w:t>7.2.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pStyle w:val="Normal"/>
        <w:jc w:val="both"/>
        <w:rPr/>
      </w:pPr>
      <w:r>
        <w:rPr/>
        <w:t>7.3.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в течение семи рабочих дней со дня представления таких сведений и снять блокирование персональных данных, за исключением случаев, предусмотренных действующим законодательством.</w:t>
      </w:r>
    </w:p>
    <w:p>
      <w:pPr>
        <w:pStyle w:val="Normal"/>
        <w:jc w:val="both"/>
        <w:rPr/>
      </w:pPr>
      <w:r>
        <w:rPr/>
        <w:t>7.4. Оператор обязан прекратить обработку персональных данных:</w:t>
      </w:r>
    </w:p>
    <w:p>
      <w:pPr>
        <w:pStyle w:val="Normal"/>
        <w:jc w:val="both"/>
        <w:rPr/>
      </w:pPr>
      <w:r>
        <w:rPr/>
        <w:t>- в случае выявления неправомерной обработки персональных данных, осуществляемой оператором;</w:t>
      </w:r>
    </w:p>
    <w:p>
      <w:pPr>
        <w:pStyle w:val="Normal"/>
        <w:jc w:val="both"/>
        <w:rPr/>
      </w:pPr>
      <w:r>
        <w:rPr/>
        <w:t>- в случае отзыва субъектом персональных данных согласия на обработку его персональных данных;</w:t>
      </w:r>
    </w:p>
    <w:p>
      <w:pPr>
        <w:pStyle w:val="Normal"/>
        <w:jc w:val="both"/>
        <w:rPr/>
      </w:pPr>
      <w:r>
        <w:rPr/>
        <w:t>- в случае достижения цели обработки персональных данных, и уничтожить персональные данные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pPr>
        <w:pStyle w:val="Normal"/>
        <w:jc w:val="both"/>
        <w:rPr/>
      </w:pPr>
      <w:r>
        <w:rPr/>
        <w:t>7.5.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уведомить уполномоченный орган по защите прав субъектов персональных данных (Роскомнадзор) в следующие сроки:</w:t>
      </w:r>
    </w:p>
    <w:p>
      <w:pPr>
        <w:pStyle w:val="Normal"/>
        <w:jc w:val="both"/>
        <w:rPr/>
      </w:pPr>
      <w:r>
        <w:rPr/>
        <w:t>а) в течение 24 (Двадцати четырех) часов с момента обнаружения инцидента направить первичное уведомление, содержащее:</w:t>
      </w:r>
    </w:p>
    <w:p>
      <w:pPr>
        <w:pStyle w:val="Normal"/>
        <w:jc w:val="both"/>
        <w:rPr/>
      </w:pPr>
      <w:r>
        <w:rPr/>
        <w:t>- информацию о произошедшем инциденте;</w:t>
      </w:r>
    </w:p>
    <w:p>
      <w:pPr>
        <w:pStyle w:val="Normal"/>
        <w:jc w:val="both"/>
        <w:rPr/>
      </w:pPr>
      <w:r>
        <w:rPr/>
        <w:t>- предполагаемые причины, повлекшие нарушение прав субъектов персональных данных;</w:t>
      </w:r>
    </w:p>
    <w:p>
      <w:pPr>
        <w:pStyle w:val="Normal"/>
        <w:jc w:val="both"/>
        <w:rPr/>
      </w:pPr>
      <w:r>
        <w:rPr/>
        <w:t>- предполагаемый вред, нанесенный правам субъектов персональных данных;</w:t>
      </w:r>
    </w:p>
    <w:p>
      <w:pPr>
        <w:pStyle w:val="Normal"/>
        <w:jc w:val="both"/>
        <w:rPr/>
      </w:pPr>
      <w:r>
        <w:rPr/>
        <w:t>- принятые меры по устранению последствий соответствующего инцидента;</w:t>
      </w:r>
    </w:p>
    <w:p>
      <w:pPr>
        <w:pStyle w:val="Normal"/>
        <w:jc w:val="both"/>
        <w:rPr/>
      </w:pPr>
      <w:r>
        <w:rPr/>
        <w:t>- сведения о лице, уполномоченном Оператором на взаимодействие с Роскомнадзором по вопросам, связанным с выявленным инцидентом.</w:t>
      </w:r>
    </w:p>
    <w:p>
      <w:pPr>
        <w:pStyle w:val="Normal"/>
        <w:jc w:val="both"/>
        <w:rPr/>
      </w:pPr>
      <w:r>
        <w:rPr/>
        <w:t>б) в течение 72 (Семидесяти двух) часов с момента обнаружения инцидента направить дополнительное уведомление о результатах внутреннего расследования, содержащее:</w:t>
      </w:r>
    </w:p>
    <w:p>
      <w:pPr>
        <w:pStyle w:val="Normal"/>
        <w:jc w:val="both"/>
        <w:rPr/>
      </w:pPr>
      <w:r>
        <w:rPr/>
        <w:t>- результаты проведенного внутреннего расследования;</w:t>
      </w:r>
    </w:p>
    <w:p>
      <w:pPr>
        <w:pStyle w:val="Normal"/>
        <w:jc w:val="both"/>
        <w:rPr/>
      </w:pPr>
      <w:r>
        <w:rPr/>
        <w:t>- сведения о лицах, действия которых стали причиной выявленного инцидента (при наличии).</w:t>
      </w:r>
    </w:p>
    <w:p>
      <w:pPr>
        <w:pStyle w:val="Normal"/>
        <w:jc w:val="both"/>
        <w:rPr/>
      </w:pPr>
      <w:r>
        <w:rPr/>
        <w:t>Уведомления направляются в электронной форме через официальный портал Роскомнадзора с использованием учетной записи на портале «Госуслуги».</w:t>
      </w:r>
    </w:p>
    <w:p>
      <w:pPr>
        <w:pStyle w:val="Normal"/>
        <w:jc w:val="both"/>
        <w:rPr/>
      </w:pPr>
      <w:r>
        <w:rPr/>
        <w:t>В случае если внутреннее расследование завершено в течение первых 24 часов, Оператор вправе предоставить полную информацию в первичном уведомлении, без направления дополнительного.</w:t>
      </w:r>
    </w:p>
    <w:p>
      <w:pPr>
        <w:pStyle w:val="Normal"/>
        <w:rPr/>
      </w:pPr>
      <w:r>
        <w:rPr/>
        <w:t>За нарушение сроков или порядка уведомления Роскомнадзора об утечке персональных данных предусмотрена административная ответственность в виде штрафа:</w:t>
      </w:r>
    </w:p>
    <w:p>
      <w:pPr>
        <w:pStyle w:val="Normal"/>
        <w:rPr/>
      </w:pPr>
      <w:r>
        <w:rPr/>
        <w:t>- для должностных лиц — от 400 000 до 800 000 рублей;</w:t>
      </w:r>
    </w:p>
    <w:p>
      <w:pPr>
        <w:pStyle w:val="Normal"/>
        <w:rPr/>
      </w:pPr>
      <w:r>
        <w:rPr/>
        <w:t>- для юридических лиц — от 1 000 000 до 3 000 000 рублей.</w:t>
      </w:r>
    </w:p>
    <w:p>
      <w:pPr>
        <w:pStyle w:val="Normal"/>
        <w:jc w:val="both"/>
        <w:rPr/>
      </w:pPr>
      <w:r>
        <w:rPr/>
        <w:t>7.6. В случае обращения субъекта персональных данных к оператору с требованием о прекращении обработки персональных данных оператор в срок, не превышающий десяти рабочих дней с даты получения им соответствующего требования, обязан прекратить их обработку, за исключением случаев, предусмотренных Законом № 152-ФЗ.</w:t>
      </w:r>
    </w:p>
    <w:p>
      <w:pPr>
        <w:pStyle w:val="Normal"/>
        <w:jc w:val="both"/>
        <w:rPr/>
      </w:pPr>
      <w:r>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Normal"/>
        <w:jc w:val="both"/>
        <w:rPr/>
      </w:pPr>
      <w:r>
        <w:rPr/>
        <w:t>7.7. После истечения срока нормативного хранения документов, содержащих персональные данные субъекта, или при наступлении иных законных оснований документы подлежат уничтожению.</w:t>
      </w:r>
    </w:p>
    <w:p>
      <w:pPr>
        <w:pStyle w:val="Normal"/>
        <w:jc w:val="both"/>
        <w:rPr/>
      </w:pPr>
      <w:r>
        <w:rPr/>
        <w:t>7.8. Оператор для этих целей создает экспертную комиссию и проводит экспертизу ценности документов.</w:t>
      </w:r>
    </w:p>
    <w:p>
      <w:pPr>
        <w:pStyle w:val="Normal"/>
        <w:jc w:val="both"/>
        <w:rPr/>
      </w:pPr>
      <w:r>
        <w:rPr/>
        <w:t>7.9. По результатам экспертизы документы, содержащие персональные данные субъекта и подлежащие уничтожению:</w:t>
      </w:r>
    </w:p>
    <w:p>
      <w:pPr>
        <w:pStyle w:val="Normal"/>
        <w:jc w:val="both"/>
        <w:rPr/>
      </w:pPr>
      <w:r>
        <w:rPr/>
        <w:t>- в электронном виде – стираются с информационных носителей либо физически уничтожаются сами носители, на которых хранится информация.</w:t>
      </w:r>
    </w:p>
    <w:p>
      <w:pPr>
        <w:pStyle w:val="Normal"/>
        <w:jc w:val="both"/>
        <w:rPr/>
      </w:pPr>
      <w:r>
        <w:rPr/>
      </w:r>
    </w:p>
    <w:p>
      <w:pPr>
        <w:pStyle w:val="Normal"/>
        <w:jc w:val="center"/>
        <w:rPr/>
      </w:pPr>
      <w:r>
        <w:rPr/>
        <w:t>8. Заключительные положения</w:t>
      </w:r>
    </w:p>
    <w:p>
      <w:pPr>
        <w:pStyle w:val="Normal"/>
        <w:jc w:val="both"/>
        <w:rPr/>
      </w:pPr>
      <w:r>
        <w:rPr/>
        <w:t>8.1. Настоящая Политика вступает в силу с момента ее размещения в соответствии с п. 1.2.</w:t>
      </w:r>
    </w:p>
    <w:p>
      <w:pPr>
        <w:pStyle w:val="Normal"/>
        <w:jc w:val="both"/>
        <w:rPr/>
      </w:pPr>
      <w:r>
        <w:rPr/>
        <w:t>8.2.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pPr>
        <w:pStyle w:val="Normal"/>
        <w:jc w:val="both"/>
        <w:rPr/>
      </w:pPr>
      <w:r>
        <w:rPr/>
        <w:t>8.3. Оператор имеет право вносить изменения в настоящую Политику путем ее новой редакции, которая подлежит публикации в том же порядке, что и первоначальная Политика.</w:t>
      </w:r>
    </w:p>
    <w:p>
      <w:pPr>
        <w:pStyle w:val="Normal"/>
        <w:jc w:val="both"/>
        <w:rPr/>
      </w:pPr>
      <w:r>
        <w:rPr/>
      </w:r>
    </w:p>
    <w:p>
      <w:pPr>
        <w:pStyle w:val="Normal"/>
        <w:jc w:val="both"/>
        <w:rPr/>
      </w:pPr>
      <w:r>
        <w:rPr/>
      </w:r>
    </w:p>
    <w:p>
      <w:pPr>
        <w:pStyle w:val="Normal"/>
        <w:jc w:val="both"/>
        <w:rPr/>
      </w:pPr>
      <w:r>
        <w:rPr/>
        <w:br/>
      </w:r>
    </w:p>
    <w:p>
      <w:pPr>
        <w:pStyle w:val="Normal"/>
        <w:rPr/>
      </w:pPr>
      <w:r>
        <w:rPr/>
      </w:r>
    </w:p>
    <w:sectPr>
      <w:type w:val="nextPage"/>
      <w:pgSz w:w="11906" w:h="16838"/>
      <w:pgMar w:left="1134" w:right="1134" w:gutter="0" w:header="0" w:top="735" w:footer="0" w:bottom="94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Symbol">
    <w:charset w:val="02"/>
    <w:family w:val="auto"/>
    <w:pitch w:val="default"/>
  </w:font>
  <w:font w:name="OpenSymbol">
    <w:altName w:val="Arial Unicode MS"/>
    <w:charset w:val="80"/>
    <w:family w:val="auto"/>
    <w:pitch w:val="default"/>
  </w:font>
  <w:font w:name="Liberation Sans">
    <w:altName w:val="Arial"/>
    <w:charset w:val="01"/>
    <w:family w:val="swiss"/>
    <w:pitch w:val="variable"/>
  </w:font>
  <w:font w:name="Arial">
    <w:charset w:val="cc"/>
    <w:family w:val="swiss"/>
    <w:pitch w:val="variable"/>
  </w:font>
  <w:font w:name="Times New Roman">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lvl>
    <w:lvl w:ilvl="1">
      <w:start w:val="1"/>
      <w:numFmt w:val="none"/>
      <w:pStyle w:val="Heading2"/>
      <w:suff w:val="nothing"/>
      <w:lvlText w:val=""/>
      <w:lvlJc w:val="start"/>
      <w:pPr>
        <w:tabs>
          <w:tab w:val="num" w:pos="0"/>
        </w:tabs>
        <w:ind w:start="576" w:hanging="576"/>
      </w:pPr>
    </w:lvl>
    <w:lvl w:ilvl="2">
      <w:start w:val="1"/>
      <w:numFmt w:val="none"/>
      <w:pStyle w:val="Heading3"/>
      <w:suff w:val="nothing"/>
      <w:lvlText w:val=""/>
      <w:lvlJc w:val="start"/>
      <w:pPr>
        <w:tabs>
          <w:tab w:val="num" w:pos="0"/>
        </w:tabs>
        <w:ind w:start="720" w:hanging="720"/>
      </w:pPr>
    </w:lvl>
    <w:lvl w:ilvl="3">
      <w:start w:val="1"/>
      <w:numFmt w:val="none"/>
      <w:suff w:val="nothing"/>
      <w:lvlText w:val=""/>
      <w:lvlJc w:val="start"/>
      <w:pPr>
        <w:tabs>
          <w:tab w:val="num" w:pos="0"/>
        </w:tabs>
        <w:ind w:start="864" w:hanging="864"/>
      </w:pPr>
    </w:lvl>
    <w:lvl w:ilvl="4">
      <w:start w:val="1"/>
      <w:numFmt w:val="none"/>
      <w:suff w:val="nothing"/>
      <w:lvlText w:val=""/>
      <w:lvlJc w:val="start"/>
      <w:pPr>
        <w:tabs>
          <w:tab w:val="num" w:pos="0"/>
        </w:tabs>
        <w:ind w:start="1008" w:hanging="1008"/>
      </w:pPr>
    </w:lvl>
    <w:lvl w:ilvl="5">
      <w:start w:val="1"/>
      <w:numFmt w:val="none"/>
      <w:suff w:val="nothing"/>
      <w:lvlText w:val=""/>
      <w:lvlJc w:val="start"/>
      <w:pPr>
        <w:tabs>
          <w:tab w:val="num" w:pos="0"/>
        </w:tabs>
        <w:ind w:start="1152" w:hanging="1152"/>
      </w:pPr>
    </w:lvl>
    <w:lvl w:ilvl="6">
      <w:start w:val="1"/>
      <w:numFmt w:val="none"/>
      <w:suff w:val="nothing"/>
      <w:lvlText w:val=""/>
      <w:lvlJc w:val="start"/>
      <w:pPr>
        <w:tabs>
          <w:tab w:val="num" w:pos="0"/>
        </w:tabs>
        <w:ind w:start="1296" w:hanging="1296"/>
      </w:pPr>
    </w:lvl>
    <w:lvl w:ilvl="7">
      <w:start w:val="1"/>
      <w:numFmt w:val="none"/>
      <w:suff w:val="nothing"/>
      <w:lvlText w:val=""/>
      <w:lvlJc w:val="start"/>
      <w:pPr>
        <w:tabs>
          <w:tab w:val="num" w:pos="0"/>
        </w:tabs>
        <w:ind w:start="1440" w:hanging="1440"/>
      </w:pPr>
    </w:lvl>
    <w:lvl w:ilvl="8">
      <w:start w:val="1"/>
      <w:numFmt w:val="none"/>
      <w:suff w:val="nothing"/>
      <w:lvlText w:val=""/>
      <w:lvlJc w:val="start"/>
      <w:pPr>
        <w:tabs>
          <w:tab w:val="num" w:pos="0"/>
        </w:tabs>
        <w:ind w:start="1584" w:hanging="1584"/>
      </w:pPr>
    </w:lvl>
  </w:abstractNum>
  <w:abstractNum w:abstractNumId="2">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4"/>
        </w:tabs>
        <w:ind w:start="1414" w:hanging="283"/>
      </w:pPr>
      <w:rPr>
        <w:rFonts w:ascii="Symbol" w:hAnsi="Symbol" w:cs="Symbol" w:hint="default"/>
      </w:rPr>
    </w:lvl>
    <w:lvl w:ilvl="2">
      <w:start w:val="1"/>
      <w:numFmt w:val="bullet"/>
      <w:lvlText w:val=""/>
      <w:lvlJc w:val="start"/>
      <w:pPr>
        <w:tabs>
          <w:tab w:val="num" w:pos="2121"/>
        </w:tabs>
        <w:ind w:start="2121" w:hanging="283"/>
      </w:pPr>
      <w:rPr>
        <w:rFonts w:ascii="Symbol" w:hAnsi="Symbol" w:cs="Symbol" w:hint="default"/>
      </w:rPr>
    </w:lvl>
    <w:lvl w:ilvl="3">
      <w:start w:val="1"/>
      <w:numFmt w:val="bullet"/>
      <w:lvlText w:val=""/>
      <w:lvlJc w:val="start"/>
      <w:pPr>
        <w:tabs>
          <w:tab w:val="num" w:pos="2828"/>
        </w:tabs>
        <w:ind w:start="2828" w:hanging="283"/>
      </w:pPr>
      <w:rPr>
        <w:rFonts w:ascii="Symbol" w:hAnsi="Symbol" w:cs="Symbol" w:hint="default"/>
      </w:rPr>
    </w:lvl>
    <w:lvl w:ilvl="4">
      <w:start w:val="1"/>
      <w:numFmt w:val="bullet"/>
      <w:lvlText w:val=""/>
      <w:lvlJc w:val="start"/>
      <w:pPr>
        <w:tabs>
          <w:tab w:val="num" w:pos="3535"/>
        </w:tabs>
        <w:ind w:start="3535" w:hanging="283"/>
      </w:pPr>
      <w:rPr>
        <w:rFonts w:ascii="Symbol" w:hAnsi="Symbol" w:cs="Symbol" w:hint="default"/>
      </w:rPr>
    </w:lvl>
    <w:lvl w:ilvl="5">
      <w:start w:val="1"/>
      <w:numFmt w:val="bullet"/>
      <w:lvlText w:val=""/>
      <w:lvlJc w:val="start"/>
      <w:pPr>
        <w:tabs>
          <w:tab w:val="num" w:pos="4242"/>
        </w:tabs>
        <w:ind w:start="4242" w:hanging="283"/>
      </w:pPr>
      <w:rPr>
        <w:rFonts w:ascii="Symbol" w:hAnsi="Symbol" w:cs="Symbol" w:hint="default"/>
      </w:rPr>
    </w:lvl>
    <w:lvl w:ilvl="6">
      <w:start w:val="1"/>
      <w:numFmt w:val="bullet"/>
      <w:lvlText w:val=""/>
      <w:lvlJc w:val="start"/>
      <w:pPr>
        <w:tabs>
          <w:tab w:val="num" w:pos="4949"/>
        </w:tabs>
        <w:ind w:start="4949" w:hanging="283"/>
      </w:pPr>
      <w:rPr>
        <w:rFonts w:ascii="Symbol" w:hAnsi="Symbol" w:cs="Symbol" w:hint="default"/>
      </w:rPr>
    </w:lvl>
    <w:lvl w:ilvl="7">
      <w:start w:val="1"/>
      <w:numFmt w:val="bullet"/>
      <w:lvlText w:val=""/>
      <w:lvlJc w:val="start"/>
      <w:pPr>
        <w:tabs>
          <w:tab w:val="num" w:pos="5656"/>
        </w:tabs>
        <w:ind w:start="5656" w:hanging="283"/>
      </w:pPr>
      <w:rPr>
        <w:rFonts w:ascii="Symbol" w:hAnsi="Symbol" w:cs="Symbol" w:hint="default"/>
      </w:rPr>
    </w:lvl>
    <w:lvl w:ilvl="8">
      <w:start w:val="1"/>
      <w:numFmt w:val="bullet"/>
      <w:lvlText w:val=""/>
      <w:lvlJc w:val="start"/>
      <w:pPr>
        <w:tabs>
          <w:tab w:val="num" w:pos="6363"/>
        </w:tabs>
        <w:ind w:start="6363"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pPr>
    <w:rPr>
      <w:rFonts w:ascii="Times New Roman" w:hAnsi="Times New Roman" w:eastAsia="SimSun" w:cs="Arial"/>
      <w:color w:val="auto"/>
      <w:kern w:val="2"/>
      <w:sz w:val="24"/>
      <w:szCs w:val="24"/>
      <w:lang w:val="ru-RU" w:eastAsia="zh-CN" w:bidi="hi-IN"/>
    </w:rPr>
  </w:style>
  <w:style w:type="paragraph" w:styleId="Heading2">
    <w:name w:val="heading 2"/>
    <w:basedOn w:val="Style14"/>
    <w:next w:val="BodyText"/>
    <w:qFormat/>
    <w:pPr>
      <w:numPr>
        <w:ilvl w:val="1"/>
        <w:numId w:val="1"/>
      </w:numPr>
      <w:outlineLvl w:val="1"/>
    </w:pPr>
    <w:rPr>
      <w:rFonts w:ascii="Times New Roman" w:hAnsi="Times New Roman" w:eastAsia="SimSun" w:cs="Arial"/>
      <w:b/>
      <w:bCs/>
      <w:sz w:val="36"/>
      <w:szCs w:val="36"/>
    </w:rPr>
  </w:style>
  <w:style w:type="paragraph" w:styleId="Heading3">
    <w:name w:val="heading 3"/>
    <w:basedOn w:val="Style14"/>
    <w:next w:val="BodyText"/>
    <w:qFormat/>
    <w:pPr>
      <w:numPr>
        <w:ilvl w:val="2"/>
        <w:numId w:val="1"/>
      </w:numPr>
      <w:outlineLvl w:val="2"/>
    </w:pPr>
    <w:rPr>
      <w:rFonts w:ascii="Times New Roman" w:hAnsi="Times New Roman" w:eastAsia="SimSun" w:cs="Arial"/>
      <w:b/>
      <w:bCs/>
      <w:sz w:val="28"/>
      <w:szCs w:val="28"/>
    </w:rPr>
  </w:style>
  <w:style w:type="character" w:styleId="WW8Num2z0">
    <w:name w:val="WW8Num2z0"/>
    <w:qFormat/>
    <w:rPr>
      <w:rFonts w:ascii="Symbol" w:hAnsi="Symbol" w:cs="OpenSymbol;Arial Unicode MS"/>
    </w:rPr>
  </w:style>
  <w:style w:type="character" w:styleId="WW8Num1z0">
    <w:name w:val="WW8Num1z0"/>
    <w:qFormat/>
    <w:rPr>
      <w:rFonts w:ascii="Symbol" w:hAnsi="Symbol" w:cs="OpenSymbol;Arial Unicode M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0">
    <w:name w:val="WW8Num3z0"/>
    <w:qFormat/>
    <w:rPr>
      <w:rFonts w:ascii="Symbol" w:hAnsi="Symbol" w:cs="OpenSymbol;Arial Unicode MS"/>
    </w:rPr>
  </w:style>
  <w:style w:type="character" w:styleId="WW8Num4z0">
    <w:name w:val="WW8Num4z0"/>
    <w:qFormat/>
    <w:rPr>
      <w:rFonts w:ascii="Symbol" w:hAnsi="Symbol" w:cs="OpenSymbol;Arial Unicode MS"/>
    </w:rPr>
  </w:style>
  <w:style w:type="character" w:styleId="WW8Num5z0">
    <w:name w:val="WW8Num5z0"/>
    <w:qFormat/>
    <w:rPr>
      <w:rFonts w:ascii="Symbol" w:hAnsi="Symbol" w:cs="OpenSymbol;Arial Unicode MS"/>
    </w:rPr>
  </w:style>
  <w:style w:type="character" w:styleId="WW8Num6z0">
    <w:name w:val="WW8Num6z0"/>
    <w:qFormat/>
    <w:rPr>
      <w:rFonts w:ascii="Symbol" w:hAnsi="Symbol" w:cs="OpenSymbol;Arial Unicode MS"/>
    </w:rPr>
  </w:style>
  <w:style w:type="character" w:styleId="WW8Num7z0">
    <w:name w:val="WW8Num7z0"/>
    <w:qFormat/>
    <w:rPr>
      <w:rFonts w:ascii="Symbol" w:hAnsi="Symbol" w:cs="OpenSymbol;Arial Unicode MS"/>
    </w:rPr>
  </w:style>
  <w:style w:type="character" w:styleId="WW8Num8z0">
    <w:name w:val="WW8Num8z0"/>
    <w:qFormat/>
    <w:rPr>
      <w:rFonts w:ascii="Symbol" w:hAnsi="Symbol" w:cs="OpenSymbol;Arial Unicode MS"/>
    </w:rPr>
  </w:style>
  <w:style w:type="character" w:styleId="WW8Num9z0">
    <w:name w:val="WW8Num9z0"/>
    <w:qFormat/>
    <w:rPr>
      <w:rFonts w:ascii="Symbol" w:hAnsi="Symbol" w:cs="OpenSymbol;Arial Unicode MS"/>
    </w:rPr>
  </w:style>
  <w:style w:type="character" w:styleId="WW8Num10z0">
    <w:name w:val="WW8Num10z0"/>
    <w:qFormat/>
    <w:rPr>
      <w:rFonts w:ascii="Symbol" w:hAnsi="Symbol" w:cs="OpenSymbol;Arial Unicode MS"/>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Emphasis">
    <w:name w:val="Emphasis"/>
    <w:qFormat/>
    <w:rPr>
      <w:i/>
      <w:iCs/>
    </w:rPr>
  </w:style>
  <w:style w:type="character" w:styleId="Strong">
    <w:name w:val="Strong"/>
    <w:qFormat/>
    <w:rPr>
      <w:b/>
      <w:bCs/>
    </w:rPr>
  </w:style>
  <w:style w:type="character" w:styleId="Style12">
    <w:name w:val="Маркеры списка"/>
    <w:qFormat/>
    <w:rPr>
      <w:rFonts w:ascii="OpenSymbol;Arial Unicode MS" w:hAnsi="OpenSymbol;Arial Unicode MS" w:eastAsia="OpenSymbol;Arial Unicode MS" w:cs="OpenSymbol;Arial Unicode MS"/>
    </w:rPr>
  </w:style>
  <w:style w:type="character" w:styleId="Style13">
    <w:name w:val="Символ нумерации"/>
    <w:qFormat/>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Style14">
    <w:name w:val="Заголовок"/>
    <w:basedOn w:val="Normal"/>
    <w:next w:val="BodyText"/>
    <w:qFormat/>
    <w:pPr>
      <w:keepNext w:val="true"/>
      <w:spacing w:before="240" w:after="120"/>
    </w:pPr>
    <w:rPr>
      <w:rFonts w:ascii="Arial" w:hAnsi="Arial" w:eastAsia="Microsoft YaHei" w:cs="Arial"/>
      <w:sz w:val="28"/>
      <w:szCs w:val="28"/>
    </w:rPr>
  </w:style>
  <w:style w:type="paragraph" w:styleId="Style15">
    <w:name w:val="Название"/>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rPr>
  </w:style>
  <w:style w:type="paragraph" w:styleId="Style17">
    <w:name w:val="Горизонтальная линия"/>
    <w:basedOn w:val="Normal"/>
    <w:next w:val="BodyText"/>
    <w:qFormat/>
    <w:pPr>
      <w:suppressLineNumbers/>
      <w:pBdr>
        <w:bottom w:val="double" w:sz="2" w:space="0" w:color="808080"/>
      </w:pBdr>
      <w:spacing w:before="0" w:after="283"/>
    </w:pPr>
    <w:rPr>
      <w:sz w:val="12"/>
      <w:szCs w:val="12"/>
    </w:rPr>
  </w:style>
  <w:style w:type="numbering" w:styleId="WW8Num1">
    <w:name w:val="WW8Num1"/>
    <w:qFormat/>
  </w:style>
  <w:style w:type="numbering" w:styleId="WW8Num2">
    <w:name w:val="WW8Num2"/>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me/voronezh_novostroyki" TargetMode="External"/><Relationship Id="rId3" Type="http://schemas.openxmlformats.org/officeDocument/2006/relationships/hyperlink" Target="mailto:INNA.KONDRATEVA.80@INTERNET.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34451</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2026-07-16T15:13:52Z</dcterms:created>
  <dc:creator/>
  <dc:description/>
  <dc:language>ru-RU</dc:language>
  <cp:lastModifiedBy/>
  <cp:revision>0</cp:revision>
  <dc:subject/>
  <dc:title/>
</cp:coreProperties>
</file>